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2F" w:rsidRPr="002A4F09" w:rsidRDefault="00A6192F" w:rsidP="00A6192F">
      <w:pPr>
        <w:jc w:val="center"/>
        <w:rPr>
          <w:rFonts w:ascii="KG Somebody That I Used to Know" w:hAnsi="KG Somebody That I Used to Know"/>
          <w:b/>
          <w:color w:val="4F6228"/>
          <w:sz w:val="48"/>
          <w:szCs w:val="48"/>
        </w:rPr>
      </w:pPr>
      <w:r w:rsidRPr="002A4F09">
        <w:rPr>
          <w:rFonts w:ascii="KG Somebody That I Used to Know" w:hAnsi="KG Somebody That I Used to Know"/>
          <w:b/>
          <w:color w:val="4F6228"/>
          <w:sz w:val="48"/>
          <w:szCs w:val="48"/>
        </w:rPr>
        <w:t>Helpful Hints:</w:t>
      </w:r>
    </w:p>
    <w:tbl>
      <w:tblPr>
        <w:tblW w:w="0" w:type="auto"/>
        <w:tblBorders>
          <w:top w:val="single" w:sz="12" w:space="0" w:color="4F6228"/>
          <w:left w:val="single" w:sz="12" w:space="0" w:color="4F6228"/>
          <w:bottom w:val="single" w:sz="12" w:space="0" w:color="4F6228"/>
          <w:right w:val="single" w:sz="12" w:space="0" w:color="4F6228"/>
          <w:insideH w:val="single" w:sz="12" w:space="0" w:color="4F6228"/>
        </w:tblBorders>
        <w:tblLook w:val="04A0"/>
      </w:tblPr>
      <w:tblGrid>
        <w:gridCol w:w="675"/>
        <w:gridCol w:w="8901"/>
      </w:tblGrid>
      <w:tr w:rsidR="00A6192F" w:rsidRPr="0046240C" w:rsidTr="003F7D73">
        <w:trPr>
          <w:cantSplit/>
          <w:trHeight w:val="1134"/>
        </w:trPr>
        <w:tc>
          <w:tcPr>
            <w:tcW w:w="675" w:type="dxa"/>
            <w:shd w:val="clear" w:color="auto" w:fill="EAF1DD"/>
            <w:textDirection w:val="btLr"/>
          </w:tcPr>
          <w:p w:rsidR="00A6192F" w:rsidRPr="0046240C" w:rsidRDefault="00A6192F" w:rsidP="003F7D73">
            <w:pPr>
              <w:spacing w:after="0" w:line="240" w:lineRule="auto"/>
              <w:ind w:left="113" w:right="113"/>
              <w:jc w:val="center"/>
              <w:rPr>
                <w:rFonts w:ascii="Segoe Script" w:hAnsi="Segoe Script"/>
                <w:color w:val="76923C"/>
                <w:sz w:val="28"/>
                <w:szCs w:val="28"/>
              </w:rPr>
            </w:pPr>
            <w:r w:rsidRPr="0046240C">
              <w:rPr>
                <w:rFonts w:ascii="Segoe Script" w:hAnsi="Segoe Script"/>
                <w:color w:val="76923C"/>
                <w:sz w:val="28"/>
                <w:szCs w:val="28"/>
              </w:rPr>
              <w:t>Objectives</w:t>
            </w:r>
          </w:p>
        </w:tc>
        <w:tc>
          <w:tcPr>
            <w:tcW w:w="9018" w:type="dxa"/>
          </w:tcPr>
          <w:p w:rsidR="00A6192F" w:rsidRPr="0046240C" w:rsidRDefault="00A6192F" w:rsidP="003F7D73">
            <w:pPr>
              <w:spacing w:after="0" w:line="240" w:lineRule="auto"/>
            </w:pPr>
            <w:r w:rsidRPr="0046240C">
              <w:rPr>
                <w:b/>
              </w:rPr>
              <w:t>Content objective</w:t>
            </w:r>
            <w:r w:rsidRPr="0046240C">
              <w:t xml:space="preserve"> = </w:t>
            </w:r>
            <w:r w:rsidRPr="0046240C">
              <w:rPr>
                <w:i/>
              </w:rPr>
              <w:t>What</w:t>
            </w:r>
            <w:r w:rsidRPr="0046240C">
              <w:t xml:space="preserve"> you want the students to learn.  This comes from your content standards, and should also include </w:t>
            </w:r>
            <w:r>
              <w:t>a verb</w:t>
            </w:r>
            <w:r w:rsidRPr="0046240C">
              <w:t xml:space="preserve"> from the Bloom’s list. </w:t>
            </w:r>
          </w:p>
          <w:p w:rsidR="00A6192F" w:rsidRPr="0046240C" w:rsidRDefault="00A6192F" w:rsidP="003F7D73">
            <w:pPr>
              <w:spacing w:after="0" w:line="240" w:lineRule="auto"/>
            </w:pPr>
          </w:p>
          <w:p w:rsidR="00A6192F" w:rsidRPr="0046240C" w:rsidRDefault="00A6192F" w:rsidP="003F7D73">
            <w:pPr>
              <w:spacing w:after="0" w:line="240" w:lineRule="auto"/>
            </w:pPr>
            <w:r w:rsidRPr="0046240C">
              <w:rPr>
                <w:b/>
              </w:rPr>
              <w:t>Language objective</w:t>
            </w:r>
            <w:r w:rsidRPr="0046240C">
              <w:t xml:space="preserve"> = </w:t>
            </w:r>
            <w:r w:rsidRPr="0046240C">
              <w:rPr>
                <w:i/>
              </w:rPr>
              <w:t xml:space="preserve">How </w:t>
            </w:r>
            <w:r w:rsidRPr="0046240C">
              <w:t>the students are going to learn the content and/or how they will show what they have learned.  This links to your content objective, and must include one of the language domains: listen, read, write, speak/say/tell</w:t>
            </w:r>
          </w:p>
          <w:p w:rsidR="00A6192F" w:rsidRPr="0046240C" w:rsidRDefault="00A6192F" w:rsidP="003F7D73">
            <w:pPr>
              <w:spacing w:after="0" w:line="240" w:lineRule="auto"/>
            </w:pPr>
          </w:p>
        </w:tc>
      </w:tr>
    </w:tbl>
    <w:p w:rsidR="00A6192F" w:rsidRDefault="00A6192F" w:rsidP="00A6192F">
      <w:pPr>
        <w:spacing w:after="0" w:line="240" w:lineRule="auto"/>
      </w:pPr>
    </w:p>
    <w:tbl>
      <w:tblPr>
        <w:tblW w:w="0" w:type="auto"/>
        <w:tblBorders>
          <w:top w:val="single" w:sz="12" w:space="0" w:color="4F6228"/>
          <w:left w:val="single" w:sz="12" w:space="0" w:color="4F6228"/>
          <w:bottom w:val="single" w:sz="12" w:space="0" w:color="4F6228"/>
          <w:right w:val="single" w:sz="12" w:space="0" w:color="4F6228"/>
          <w:insideH w:val="single" w:sz="12" w:space="0" w:color="4F6228"/>
        </w:tblBorders>
        <w:tblLook w:val="04A0"/>
      </w:tblPr>
      <w:tblGrid>
        <w:gridCol w:w="675"/>
        <w:gridCol w:w="4449"/>
        <w:gridCol w:w="4452"/>
      </w:tblGrid>
      <w:tr w:rsidR="00A6192F" w:rsidRPr="0046240C" w:rsidTr="003F7D73">
        <w:trPr>
          <w:cantSplit/>
          <w:trHeight w:val="1134"/>
        </w:trPr>
        <w:tc>
          <w:tcPr>
            <w:tcW w:w="675" w:type="dxa"/>
            <w:shd w:val="clear" w:color="auto" w:fill="EAF1DD"/>
            <w:textDirection w:val="btLr"/>
          </w:tcPr>
          <w:p w:rsidR="00A6192F" w:rsidRPr="0046240C" w:rsidRDefault="00A6192F" w:rsidP="003F7D73">
            <w:pPr>
              <w:spacing w:after="0" w:line="240" w:lineRule="auto"/>
              <w:ind w:left="113" w:right="113"/>
              <w:jc w:val="center"/>
              <w:rPr>
                <w:rFonts w:ascii="Segoe Script" w:hAnsi="Segoe Script"/>
                <w:color w:val="76923C"/>
                <w:sz w:val="28"/>
                <w:szCs w:val="28"/>
              </w:rPr>
            </w:pPr>
            <w:r w:rsidRPr="0046240C">
              <w:rPr>
                <w:rFonts w:ascii="Segoe Script" w:hAnsi="Segoe Script"/>
                <w:color w:val="76923C"/>
                <w:sz w:val="28"/>
                <w:szCs w:val="28"/>
              </w:rPr>
              <w:t>Objectives</w:t>
            </w:r>
            <w:r>
              <w:rPr>
                <w:rFonts w:ascii="Segoe Script" w:hAnsi="Segoe Script"/>
                <w:color w:val="76923C"/>
                <w:sz w:val="28"/>
                <w:szCs w:val="28"/>
              </w:rPr>
              <w:t xml:space="preserve"> – Verbs to Use</w:t>
            </w:r>
          </w:p>
        </w:tc>
        <w:tc>
          <w:tcPr>
            <w:tcW w:w="4509" w:type="dxa"/>
          </w:tcPr>
          <w:p w:rsidR="00A6192F" w:rsidRDefault="00A6192F" w:rsidP="003F7D73">
            <w:pPr>
              <w:spacing w:after="0" w:line="240" w:lineRule="auto"/>
              <w:rPr>
                <w:b/>
              </w:rPr>
            </w:pPr>
            <w:r>
              <w:rPr>
                <w:b/>
              </w:rPr>
              <w:t>Common Content Objective Verbs:</w:t>
            </w:r>
          </w:p>
          <w:p w:rsidR="00A6192F" w:rsidRDefault="00A6192F" w:rsidP="003F7D73">
            <w:pPr>
              <w:spacing w:after="0" w:line="240" w:lineRule="auto"/>
              <w:rPr>
                <w:b/>
              </w:rPr>
            </w:pPr>
          </w:p>
          <w:p w:rsidR="00A6192F" w:rsidRDefault="00A6192F" w:rsidP="003F7D73">
            <w:pPr>
              <w:spacing w:after="0" w:line="240" w:lineRule="auto"/>
            </w:pPr>
            <w:r>
              <w:t>Apply</w:t>
            </w:r>
            <w:r>
              <w:tab/>
            </w:r>
            <w:r>
              <w:tab/>
            </w:r>
            <w:r>
              <w:tab/>
              <w:t>Measure</w:t>
            </w:r>
          </w:p>
          <w:p w:rsidR="00A6192F" w:rsidRDefault="00A6192F" w:rsidP="003F7D73">
            <w:pPr>
              <w:spacing w:after="0" w:line="240" w:lineRule="auto"/>
            </w:pPr>
            <w:r>
              <w:t>Compute</w:t>
            </w:r>
            <w:r>
              <w:tab/>
            </w:r>
            <w:r>
              <w:tab/>
              <w:t>Contrast</w:t>
            </w:r>
          </w:p>
          <w:p w:rsidR="00A6192F" w:rsidRDefault="00A6192F" w:rsidP="003F7D73">
            <w:pPr>
              <w:spacing w:after="0" w:line="240" w:lineRule="auto"/>
            </w:pPr>
            <w:r>
              <w:t>Discover</w:t>
            </w:r>
            <w:r>
              <w:tab/>
            </w:r>
            <w:r>
              <w:tab/>
              <w:t>Analyze</w:t>
            </w:r>
          </w:p>
          <w:p w:rsidR="00A6192F" w:rsidRDefault="00A6192F" w:rsidP="003F7D73">
            <w:pPr>
              <w:spacing w:after="0" w:line="240" w:lineRule="auto"/>
            </w:pPr>
            <w:r>
              <w:t>Research</w:t>
            </w:r>
            <w:r>
              <w:tab/>
            </w:r>
            <w:r>
              <w:tab/>
              <w:t>Compare</w:t>
            </w:r>
          </w:p>
          <w:p w:rsidR="00A6192F" w:rsidRDefault="00A6192F" w:rsidP="003F7D73">
            <w:pPr>
              <w:spacing w:after="0" w:line="240" w:lineRule="auto"/>
            </w:pPr>
            <w:r>
              <w:t>Search</w:t>
            </w:r>
            <w:r>
              <w:tab/>
            </w:r>
            <w:r>
              <w:tab/>
            </w:r>
            <w:r>
              <w:tab/>
              <w:t>Design</w:t>
            </w:r>
          </w:p>
          <w:p w:rsidR="00A6192F" w:rsidRDefault="00A6192F" w:rsidP="003F7D73">
            <w:pPr>
              <w:spacing w:after="0" w:line="240" w:lineRule="auto"/>
            </w:pPr>
            <w:r>
              <w:t>Rank</w:t>
            </w:r>
            <w:r>
              <w:tab/>
            </w:r>
            <w:r>
              <w:tab/>
            </w:r>
            <w:r>
              <w:tab/>
              <w:t>Solve</w:t>
            </w:r>
          </w:p>
          <w:p w:rsidR="00A6192F" w:rsidRDefault="00A6192F" w:rsidP="003F7D73">
            <w:pPr>
              <w:spacing w:after="0" w:line="240" w:lineRule="auto"/>
            </w:pPr>
            <w:r>
              <w:t>Count</w:t>
            </w:r>
            <w:r>
              <w:tab/>
            </w:r>
            <w:r>
              <w:tab/>
            </w:r>
            <w:r>
              <w:tab/>
              <w:t>Describe</w:t>
            </w:r>
          </w:p>
          <w:p w:rsidR="00A6192F" w:rsidRDefault="00A6192F" w:rsidP="003F7D73">
            <w:pPr>
              <w:spacing w:after="0" w:line="240" w:lineRule="auto"/>
            </w:pPr>
            <w:r>
              <w:t>Use</w:t>
            </w:r>
            <w:r>
              <w:tab/>
            </w:r>
            <w:r>
              <w:tab/>
            </w:r>
            <w:r>
              <w:tab/>
              <w:t>Calculate</w:t>
            </w:r>
          </w:p>
          <w:p w:rsidR="00A6192F" w:rsidRDefault="00A6192F" w:rsidP="003F7D73">
            <w:pPr>
              <w:spacing w:after="0" w:line="240" w:lineRule="auto"/>
            </w:pPr>
          </w:p>
          <w:p w:rsidR="00A6192F" w:rsidRDefault="00A6192F" w:rsidP="003F7D73">
            <w:pPr>
              <w:spacing w:after="0" w:line="240" w:lineRule="auto"/>
            </w:pPr>
            <w:r>
              <w:t>* If you add the words “write” or “orally” to the content objective, it will become a language objective.  It is ok to have the same objective for both categories with just this simple difference.</w:t>
            </w:r>
          </w:p>
          <w:p w:rsidR="00A6192F" w:rsidRDefault="00A6192F" w:rsidP="003F7D73">
            <w:pPr>
              <w:spacing w:after="0" w:line="240" w:lineRule="auto"/>
            </w:pPr>
            <w:proofErr w:type="spellStart"/>
            <w:r>
              <w:t>Eg</w:t>
            </w:r>
            <w:proofErr w:type="spellEnd"/>
            <w:r>
              <w:t xml:space="preserve">: </w:t>
            </w:r>
          </w:p>
          <w:p w:rsidR="00A6192F" w:rsidRDefault="00A6192F" w:rsidP="003F7D73">
            <w:pPr>
              <w:spacing w:after="0" w:line="240" w:lineRule="auto"/>
            </w:pPr>
            <w:r>
              <w:t xml:space="preserve">Content: “will describe 3 animal adaptations” </w:t>
            </w:r>
          </w:p>
          <w:p w:rsidR="00A6192F" w:rsidRPr="00571410" w:rsidRDefault="00A6192F" w:rsidP="003F7D73">
            <w:pPr>
              <w:spacing w:after="0" w:line="240" w:lineRule="auto"/>
            </w:pPr>
            <w:r>
              <w:t>Language: “will describe 3 animal adaptations in writing”</w:t>
            </w:r>
          </w:p>
        </w:tc>
        <w:tc>
          <w:tcPr>
            <w:tcW w:w="4509" w:type="dxa"/>
          </w:tcPr>
          <w:p w:rsidR="00A6192F" w:rsidRDefault="00A6192F" w:rsidP="003F7D73">
            <w:pPr>
              <w:spacing w:after="0" w:line="240" w:lineRule="auto"/>
              <w:rPr>
                <w:b/>
              </w:rPr>
            </w:pPr>
            <w:r>
              <w:rPr>
                <w:b/>
              </w:rPr>
              <w:t>Common Language Objective Verbs</w:t>
            </w:r>
          </w:p>
          <w:p w:rsidR="00A6192F" w:rsidRDefault="00A6192F" w:rsidP="003F7D73">
            <w:pPr>
              <w:spacing w:after="0" w:line="240" w:lineRule="auto"/>
              <w:rPr>
                <w:b/>
              </w:rPr>
            </w:pPr>
          </w:p>
          <w:p w:rsidR="00A6192F" w:rsidRDefault="00A6192F" w:rsidP="003F7D73">
            <w:pPr>
              <w:spacing w:after="0" w:line="240" w:lineRule="auto"/>
            </w:pPr>
            <w:r>
              <w:t>Compare</w:t>
            </w:r>
            <w:r>
              <w:tab/>
            </w:r>
            <w:r>
              <w:tab/>
              <w:t>Dramatize</w:t>
            </w:r>
          </w:p>
          <w:p w:rsidR="00A6192F" w:rsidRDefault="00A6192F" w:rsidP="003F7D73">
            <w:pPr>
              <w:spacing w:after="0" w:line="240" w:lineRule="auto"/>
            </w:pPr>
            <w:r>
              <w:t>Paraphrase</w:t>
            </w:r>
            <w:r>
              <w:tab/>
            </w:r>
            <w:r>
              <w:tab/>
              <w:t>Summarize</w:t>
            </w:r>
          </w:p>
          <w:p w:rsidR="00A6192F" w:rsidRDefault="00A6192F" w:rsidP="003F7D73">
            <w:pPr>
              <w:spacing w:after="0" w:line="240" w:lineRule="auto"/>
            </w:pPr>
            <w:r>
              <w:t>Describe</w:t>
            </w:r>
            <w:r>
              <w:tab/>
            </w:r>
            <w:r>
              <w:tab/>
              <w:t>Explain</w:t>
            </w:r>
          </w:p>
          <w:p w:rsidR="00A6192F" w:rsidRDefault="00A6192F" w:rsidP="003F7D73">
            <w:pPr>
              <w:spacing w:after="0" w:line="240" w:lineRule="auto"/>
            </w:pPr>
            <w:r>
              <w:t>Persuade</w:t>
            </w:r>
            <w:r>
              <w:tab/>
            </w:r>
            <w:r>
              <w:tab/>
              <w:t>Tell</w:t>
            </w:r>
          </w:p>
          <w:p w:rsidR="00A6192F" w:rsidRDefault="00A6192F" w:rsidP="003F7D73">
            <w:pPr>
              <w:spacing w:after="0" w:line="240" w:lineRule="auto"/>
            </w:pPr>
            <w:r>
              <w:t>Discuss</w:t>
            </w:r>
            <w:r>
              <w:tab/>
            </w:r>
            <w:r>
              <w:tab/>
            </w:r>
            <w:r>
              <w:tab/>
              <w:t>Listen</w:t>
            </w:r>
          </w:p>
          <w:p w:rsidR="00A6192F" w:rsidRDefault="00A6192F" w:rsidP="003F7D73">
            <w:pPr>
              <w:spacing w:after="0" w:line="240" w:lineRule="auto"/>
            </w:pPr>
            <w:r>
              <w:t>Read</w:t>
            </w:r>
            <w:r>
              <w:tab/>
            </w:r>
            <w:r>
              <w:tab/>
            </w:r>
            <w:r>
              <w:tab/>
              <w:t>Write</w:t>
            </w:r>
          </w:p>
          <w:p w:rsidR="00A6192F" w:rsidRDefault="00A6192F" w:rsidP="003F7D73">
            <w:pPr>
              <w:spacing w:after="0" w:line="240" w:lineRule="auto"/>
            </w:pPr>
          </w:p>
          <w:p w:rsidR="00A6192F" w:rsidRDefault="00A6192F" w:rsidP="003F7D73">
            <w:pPr>
              <w:spacing w:after="0" w:line="240" w:lineRule="auto"/>
            </w:pPr>
          </w:p>
          <w:p w:rsidR="00A6192F" w:rsidRDefault="00A6192F" w:rsidP="003F7D73">
            <w:pPr>
              <w:spacing w:after="0" w:line="240" w:lineRule="auto"/>
            </w:pPr>
          </w:p>
          <w:p w:rsidR="00A6192F" w:rsidRPr="0021372E" w:rsidRDefault="00A6192F" w:rsidP="003F7D73">
            <w:pPr>
              <w:spacing w:after="0" w:line="240" w:lineRule="auto"/>
            </w:pPr>
            <w:r>
              <w:t xml:space="preserve">* Language objectives must include a language domain (listen, read, write, speak).  Example: “will compare 2 animals </w:t>
            </w:r>
            <w:r w:rsidRPr="0021372E">
              <w:rPr>
                <w:u w:val="single"/>
              </w:rPr>
              <w:t>in writing</w:t>
            </w:r>
            <w:r>
              <w:t>.”</w:t>
            </w:r>
          </w:p>
        </w:tc>
      </w:tr>
    </w:tbl>
    <w:p w:rsidR="00A6192F" w:rsidRDefault="00A6192F" w:rsidP="00A6192F">
      <w:pPr>
        <w:spacing w:after="0" w:line="240" w:lineRule="auto"/>
      </w:pPr>
    </w:p>
    <w:p w:rsidR="00A6192F" w:rsidRDefault="00A6192F" w:rsidP="00A6192F">
      <w:pPr>
        <w:spacing w:after="0" w:line="240" w:lineRule="auto"/>
      </w:pPr>
      <w:r>
        <w:br w:type="page"/>
      </w:r>
    </w:p>
    <w:p w:rsidR="00A6192F" w:rsidRDefault="00A6192F" w:rsidP="00A6192F">
      <w:pPr>
        <w:spacing w:after="0" w:line="240" w:lineRule="auto"/>
      </w:pPr>
    </w:p>
    <w:tbl>
      <w:tblPr>
        <w:tblW w:w="0" w:type="auto"/>
        <w:tblBorders>
          <w:top w:val="single" w:sz="12" w:space="0" w:color="4F6228"/>
          <w:left w:val="single" w:sz="12" w:space="0" w:color="4F6228"/>
          <w:bottom w:val="single" w:sz="12" w:space="0" w:color="4F6228"/>
          <w:right w:val="single" w:sz="12" w:space="0" w:color="4F6228"/>
        </w:tblBorders>
        <w:tblLook w:val="04A0"/>
      </w:tblPr>
      <w:tblGrid>
        <w:gridCol w:w="675"/>
        <w:gridCol w:w="8901"/>
      </w:tblGrid>
      <w:tr w:rsidR="00A6192F" w:rsidRPr="0046240C" w:rsidTr="003F7D73">
        <w:trPr>
          <w:cantSplit/>
          <w:trHeight w:val="1134"/>
        </w:trPr>
        <w:tc>
          <w:tcPr>
            <w:tcW w:w="558" w:type="dxa"/>
            <w:vMerge w:val="restart"/>
            <w:shd w:val="clear" w:color="auto" w:fill="EAF1DD"/>
            <w:textDirection w:val="btLr"/>
          </w:tcPr>
          <w:p w:rsidR="00A6192F" w:rsidRPr="0046240C" w:rsidRDefault="00A6192F" w:rsidP="003F7D73">
            <w:pPr>
              <w:spacing w:after="0" w:line="240" w:lineRule="auto"/>
              <w:ind w:left="113" w:right="113"/>
              <w:jc w:val="center"/>
              <w:rPr>
                <w:rFonts w:ascii="Segoe Script" w:hAnsi="Segoe Script"/>
                <w:color w:val="76923C"/>
                <w:sz w:val="28"/>
                <w:szCs w:val="28"/>
              </w:rPr>
            </w:pPr>
            <w:r w:rsidRPr="0046240C">
              <w:rPr>
                <w:rFonts w:ascii="Segoe Script" w:hAnsi="Segoe Script"/>
                <w:color w:val="76923C"/>
                <w:sz w:val="28"/>
                <w:szCs w:val="28"/>
              </w:rPr>
              <w:t>Terms</w:t>
            </w:r>
          </w:p>
        </w:tc>
        <w:tc>
          <w:tcPr>
            <w:tcW w:w="9018" w:type="dxa"/>
          </w:tcPr>
          <w:p w:rsidR="00A6192F" w:rsidRPr="0046240C" w:rsidRDefault="00A6192F" w:rsidP="003F7D73">
            <w:pPr>
              <w:spacing w:after="0" w:line="240" w:lineRule="auto"/>
              <w:rPr>
                <w:b/>
              </w:rPr>
            </w:pPr>
            <w:r w:rsidRPr="0046240C">
              <w:rPr>
                <w:b/>
              </w:rPr>
              <w:t>Tier 2 terms</w:t>
            </w:r>
          </w:p>
          <w:p w:rsidR="00A6192F" w:rsidRPr="0046240C" w:rsidRDefault="00A6192F" w:rsidP="003F7D73">
            <w:pPr>
              <w:pStyle w:val="ListParagraph"/>
              <w:numPr>
                <w:ilvl w:val="0"/>
                <w:numId w:val="1"/>
              </w:numPr>
              <w:spacing w:after="0" w:line="240" w:lineRule="auto"/>
            </w:pPr>
            <w:r w:rsidRPr="0046240C">
              <w:t>Academic words commonly found in school, but not in general conversation</w:t>
            </w:r>
          </w:p>
          <w:p w:rsidR="00A6192F" w:rsidRPr="0046240C" w:rsidRDefault="00A6192F" w:rsidP="003F7D73">
            <w:pPr>
              <w:pStyle w:val="ListParagraph"/>
              <w:numPr>
                <w:ilvl w:val="0"/>
                <w:numId w:val="1"/>
              </w:numPr>
              <w:spacing w:after="0" w:line="240" w:lineRule="auto"/>
            </w:pPr>
            <w:r w:rsidRPr="0046240C">
              <w:t xml:space="preserve">These words travel </w:t>
            </w:r>
            <w:r w:rsidRPr="0046240C">
              <w:rPr>
                <w:b/>
              </w:rPr>
              <w:t>across</w:t>
            </w:r>
            <w:r w:rsidRPr="0046240C">
              <w:t xml:space="preserve"> content areas</w:t>
            </w:r>
          </w:p>
          <w:p w:rsidR="00A6192F" w:rsidRPr="0046240C" w:rsidRDefault="00A6192F" w:rsidP="003F7D73">
            <w:pPr>
              <w:pStyle w:val="ListParagraph"/>
              <w:numPr>
                <w:ilvl w:val="0"/>
                <w:numId w:val="1"/>
              </w:numPr>
              <w:spacing w:after="0" w:line="240" w:lineRule="auto"/>
            </w:pPr>
            <w:r w:rsidRPr="0046240C">
              <w:t xml:space="preserve">Includes </w:t>
            </w:r>
            <w:proofErr w:type="spellStart"/>
            <w:r w:rsidRPr="0046240C">
              <w:t>polysemous</w:t>
            </w:r>
            <w:proofErr w:type="spellEnd"/>
            <w:r w:rsidRPr="0046240C">
              <w:t xml:space="preserve"> words – have multiple meanings across content areas (</w:t>
            </w:r>
            <w:proofErr w:type="spellStart"/>
            <w:r w:rsidRPr="0046240C">
              <w:t>eg</w:t>
            </w:r>
            <w:proofErr w:type="spellEnd"/>
            <w:r w:rsidRPr="0046240C">
              <w:t>: table = a place to eat; a chart)</w:t>
            </w:r>
          </w:p>
          <w:p w:rsidR="00A6192F" w:rsidRPr="0046240C" w:rsidRDefault="00A6192F" w:rsidP="003F7D73">
            <w:pPr>
              <w:pStyle w:val="ListParagraph"/>
              <w:numPr>
                <w:ilvl w:val="0"/>
                <w:numId w:val="1"/>
              </w:numPr>
              <w:spacing w:after="0" w:line="240" w:lineRule="auto"/>
            </w:pPr>
            <w:r w:rsidRPr="0046240C">
              <w:t>Examples include:</w:t>
            </w:r>
          </w:p>
          <w:p w:rsidR="00A6192F" w:rsidRPr="0046240C" w:rsidRDefault="00A6192F" w:rsidP="003F7D73">
            <w:pPr>
              <w:pStyle w:val="ListParagraph"/>
              <w:spacing w:after="0" w:line="240" w:lineRule="auto"/>
            </w:pPr>
            <w:r w:rsidRPr="0046240C">
              <w:t>Connection</w:t>
            </w:r>
            <w:r w:rsidRPr="0046240C">
              <w:tab/>
            </w:r>
            <w:r w:rsidRPr="0046240C">
              <w:tab/>
              <w:t>Structure</w:t>
            </w:r>
          </w:p>
          <w:p w:rsidR="00A6192F" w:rsidRPr="0046240C" w:rsidRDefault="00A6192F" w:rsidP="003F7D73">
            <w:pPr>
              <w:pStyle w:val="ListParagraph"/>
              <w:spacing w:after="0" w:line="240" w:lineRule="auto"/>
            </w:pPr>
            <w:r w:rsidRPr="0046240C">
              <w:t>Demonstration</w:t>
            </w:r>
            <w:r w:rsidRPr="0046240C">
              <w:tab/>
            </w:r>
            <w:r w:rsidRPr="0046240C">
              <w:tab/>
              <w:t>Influence</w:t>
            </w:r>
          </w:p>
          <w:p w:rsidR="00A6192F" w:rsidRPr="0046240C" w:rsidRDefault="00A6192F" w:rsidP="003F7D73">
            <w:pPr>
              <w:pStyle w:val="ListParagraph"/>
              <w:spacing w:after="0" w:line="240" w:lineRule="auto"/>
            </w:pPr>
            <w:r w:rsidRPr="0046240C">
              <w:t>Constitute</w:t>
            </w:r>
            <w:r w:rsidRPr="0046240C">
              <w:tab/>
            </w:r>
            <w:r w:rsidRPr="0046240C">
              <w:tab/>
              <w:t>Ordinal numbers</w:t>
            </w:r>
          </w:p>
          <w:p w:rsidR="00A6192F" w:rsidRPr="0046240C" w:rsidRDefault="00A6192F" w:rsidP="003F7D73">
            <w:pPr>
              <w:pStyle w:val="ListParagraph"/>
              <w:spacing w:after="0" w:line="240" w:lineRule="auto"/>
            </w:pPr>
            <w:r w:rsidRPr="0046240C">
              <w:t>Accurate</w:t>
            </w:r>
            <w:r w:rsidRPr="0046240C">
              <w:tab/>
            </w:r>
            <w:r w:rsidRPr="0046240C">
              <w:tab/>
              <w:t>Part/whole</w:t>
            </w:r>
          </w:p>
          <w:p w:rsidR="00A6192F" w:rsidRPr="0046240C" w:rsidRDefault="00A6192F" w:rsidP="003F7D73">
            <w:pPr>
              <w:pStyle w:val="ListParagraph"/>
              <w:spacing w:after="0" w:line="240" w:lineRule="auto"/>
            </w:pPr>
            <w:r w:rsidRPr="0046240C">
              <w:t>Category</w:t>
            </w:r>
            <w:r w:rsidRPr="0046240C">
              <w:tab/>
            </w:r>
            <w:r w:rsidRPr="0046240C">
              <w:tab/>
              <w:t>Greater than/less than</w:t>
            </w:r>
          </w:p>
          <w:p w:rsidR="00A6192F" w:rsidRPr="0046240C" w:rsidRDefault="00A6192F" w:rsidP="003F7D73">
            <w:pPr>
              <w:pStyle w:val="ListParagraph"/>
              <w:spacing w:after="0" w:line="240" w:lineRule="auto"/>
            </w:pPr>
            <w:r w:rsidRPr="0046240C">
              <w:t>Estimate</w:t>
            </w:r>
          </w:p>
          <w:p w:rsidR="00A6192F" w:rsidRPr="0046240C" w:rsidRDefault="00A6192F" w:rsidP="003F7D73">
            <w:pPr>
              <w:spacing w:after="0" w:line="240" w:lineRule="auto"/>
            </w:pPr>
          </w:p>
        </w:tc>
      </w:tr>
      <w:tr w:rsidR="00A6192F" w:rsidRPr="0046240C" w:rsidTr="003F7D73">
        <w:trPr>
          <w:cantSplit/>
          <w:trHeight w:val="1134"/>
        </w:trPr>
        <w:tc>
          <w:tcPr>
            <w:tcW w:w="558" w:type="dxa"/>
            <w:vMerge/>
            <w:shd w:val="clear" w:color="auto" w:fill="EAF1DD"/>
            <w:textDirection w:val="btLr"/>
          </w:tcPr>
          <w:p w:rsidR="00A6192F" w:rsidRPr="0046240C" w:rsidRDefault="00A6192F" w:rsidP="003F7D73">
            <w:pPr>
              <w:spacing w:after="0" w:line="240" w:lineRule="auto"/>
              <w:ind w:left="113" w:right="113"/>
            </w:pPr>
          </w:p>
        </w:tc>
        <w:tc>
          <w:tcPr>
            <w:tcW w:w="9018" w:type="dxa"/>
          </w:tcPr>
          <w:p w:rsidR="00A6192F" w:rsidRPr="0046240C" w:rsidRDefault="00A6192F" w:rsidP="003F7D73">
            <w:pPr>
              <w:spacing w:after="0" w:line="240" w:lineRule="auto"/>
            </w:pPr>
            <w:r w:rsidRPr="0046240C">
              <w:rPr>
                <w:b/>
              </w:rPr>
              <w:t>Tier 3 terms</w:t>
            </w:r>
          </w:p>
          <w:p w:rsidR="00A6192F" w:rsidRPr="0046240C" w:rsidRDefault="00A6192F" w:rsidP="003F7D73">
            <w:pPr>
              <w:pStyle w:val="ListParagraph"/>
              <w:numPr>
                <w:ilvl w:val="0"/>
                <w:numId w:val="2"/>
              </w:numPr>
              <w:spacing w:after="0" w:line="240" w:lineRule="auto"/>
            </w:pPr>
            <w:r w:rsidRPr="0046240C">
              <w:t>Uncommon words, found in particular texts / subject areas</w:t>
            </w:r>
          </w:p>
          <w:p w:rsidR="00A6192F" w:rsidRPr="0046240C" w:rsidRDefault="00A6192F" w:rsidP="003F7D73">
            <w:pPr>
              <w:pStyle w:val="ListParagraph"/>
              <w:numPr>
                <w:ilvl w:val="0"/>
                <w:numId w:val="2"/>
              </w:numPr>
              <w:spacing w:after="0" w:line="240" w:lineRule="auto"/>
            </w:pPr>
            <w:r w:rsidRPr="0046240C">
              <w:t>Teach when needed for comprehension, but do not spend all of your time here</w:t>
            </w:r>
          </w:p>
          <w:p w:rsidR="00A6192F" w:rsidRPr="0046240C" w:rsidRDefault="00A6192F" w:rsidP="003F7D73">
            <w:pPr>
              <w:pStyle w:val="ListParagraph"/>
              <w:numPr>
                <w:ilvl w:val="0"/>
                <w:numId w:val="2"/>
              </w:numPr>
              <w:spacing w:after="0" w:line="240" w:lineRule="auto"/>
            </w:pPr>
            <w:r w:rsidRPr="0046240C">
              <w:t>Examples include:</w:t>
            </w:r>
          </w:p>
          <w:p w:rsidR="00A6192F" w:rsidRPr="0046240C" w:rsidRDefault="00A6192F" w:rsidP="003F7D73">
            <w:pPr>
              <w:pStyle w:val="ListParagraph"/>
              <w:spacing w:after="0" w:line="240" w:lineRule="auto"/>
            </w:pPr>
            <w:r w:rsidRPr="0046240C">
              <w:t>Spectrometer</w:t>
            </w:r>
          </w:p>
          <w:p w:rsidR="00A6192F" w:rsidRPr="0046240C" w:rsidRDefault="00A6192F" w:rsidP="003F7D73">
            <w:pPr>
              <w:pStyle w:val="ListParagraph"/>
              <w:spacing w:after="0" w:line="240" w:lineRule="auto"/>
            </w:pPr>
            <w:r w:rsidRPr="0046240C">
              <w:t>Bayonet</w:t>
            </w:r>
          </w:p>
          <w:p w:rsidR="00A6192F" w:rsidRPr="0046240C" w:rsidRDefault="00A6192F" w:rsidP="003F7D73">
            <w:pPr>
              <w:pStyle w:val="ListParagraph"/>
              <w:spacing w:after="0" w:line="240" w:lineRule="auto"/>
            </w:pPr>
            <w:r w:rsidRPr="0046240C">
              <w:t>Photoelectron</w:t>
            </w:r>
          </w:p>
          <w:p w:rsidR="00A6192F" w:rsidRPr="0046240C" w:rsidRDefault="00A6192F" w:rsidP="003F7D73">
            <w:pPr>
              <w:pStyle w:val="ListParagraph"/>
              <w:spacing w:after="0" w:line="240" w:lineRule="auto"/>
            </w:pPr>
            <w:r w:rsidRPr="0046240C">
              <w:t>Numerator</w:t>
            </w:r>
          </w:p>
          <w:p w:rsidR="00A6192F" w:rsidRPr="0046240C" w:rsidRDefault="00A6192F" w:rsidP="003F7D73">
            <w:pPr>
              <w:pStyle w:val="ListParagraph"/>
              <w:spacing w:after="0" w:line="240" w:lineRule="auto"/>
            </w:pPr>
            <w:r w:rsidRPr="0046240C">
              <w:t>Reduce</w:t>
            </w:r>
          </w:p>
        </w:tc>
      </w:tr>
    </w:tbl>
    <w:p w:rsidR="00A6192F" w:rsidRDefault="00A6192F" w:rsidP="00A6192F">
      <w:pPr>
        <w:spacing w:after="0" w:line="240" w:lineRule="auto"/>
      </w:pPr>
    </w:p>
    <w:tbl>
      <w:tblPr>
        <w:tblW w:w="0" w:type="auto"/>
        <w:tblBorders>
          <w:top w:val="single" w:sz="12" w:space="0" w:color="4F6228"/>
          <w:left w:val="single" w:sz="12" w:space="0" w:color="4F6228"/>
          <w:bottom w:val="single" w:sz="12" w:space="0" w:color="4F6228"/>
          <w:right w:val="single" w:sz="12" w:space="0" w:color="4F6228"/>
        </w:tblBorders>
        <w:tblLook w:val="04A0"/>
      </w:tblPr>
      <w:tblGrid>
        <w:gridCol w:w="675"/>
        <w:gridCol w:w="8901"/>
      </w:tblGrid>
      <w:tr w:rsidR="00A6192F" w:rsidRPr="0046240C" w:rsidTr="003F7D73">
        <w:trPr>
          <w:cantSplit/>
          <w:trHeight w:val="1134"/>
        </w:trPr>
        <w:tc>
          <w:tcPr>
            <w:tcW w:w="675" w:type="dxa"/>
            <w:shd w:val="clear" w:color="auto" w:fill="EAF1DD"/>
            <w:textDirection w:val="btLr"/>
          </w:tcPr>
          <w:p w:rsidR="00A6192F" w:rsidRPr="0046240C" w:rsidRDefault="00A6192F" w:rsidP="003F7D73">
            <w:pPr>
              <w:spacing w:after="0" w:line="240" w:lineRule="auto"/>
              <w:ind w:left="113" w:right="113"/>
              <w:jc w:val="center"/>
              <w:rPr>
                <w:rFonts w:ascii="Segoe Script" w:hAnsi="Segoe Script"/>
                <w:color w:val="76923C"/>
                <w:sz w:val="28"/>
                <w:szCs w:val="28"/>
              </w:rPr>
            </w:pPr>
            <w:r>
              <w:rPr>
                <w:rFonts w:ascii="Segoe Script" w:hAnsi="Segoe Script"/>
                <w:color w:val="76923C"/>
                <w:sz w:val="28"/>
                <w:szCs w:val="28"/>
              </w:rPr>
              <w:lastRenderedPageBreak/>
              <w:t xml:space="preserve">Teach &amp; Practice </w:t>
            </w:r>
            <w:r w:rsidRPr="0046240C">
              <w:rPr>
                <w:rFonts w:ascii="Segoe Script" w:hAnsi="Segoe Script"/>
                <w:color w:val="76923C"/>
                <w:sz w:val="28"/>
                <w:szCs w:val="28"/>
              </w:rPr>
              <w:t>Terms</w:t>
            </w:r>
          </w:p>
        </w:tc>
        <w:tc>
          <w:tcPr>
            <w:tcW w:w="9018" w:type="dxa"/>
          </w:tcPr>
          <w:p w:rsidR="00A6192F" w:rsidRDefault="00A6192F" w:rsidP="003F7D73">
            <w:pPr>
              <w:spacing w:after="0" w:line="240" w:lineRule="auto"/>
            </w:pPr>
            <w:r>
              <w:rPr>
                <w:b/>
              </w:rPr>
              <w:t>Personal Dictionaries</w:t>
            </w:r>
            <w:r>
              <w:t xml:space="preserve"> – students create these as an individual resource.  Can be </w:t>
            </w:r>
            <w:proofErr w:type="spellStart"/>
            <w:r>
              <w:t>notecards</w:t>
            </w:r>
            <w:proofErr w:type="spellEnd"/>
            <w:r>
              <w:t xml:space="preserve"> on a ring, or a binder, or a notebook.  Teacher works with students to clarify and develop a definition of the term.  Students add the term to their dictionary, and write the definition using their own words (not copied from the teacher).  Students also add a drawing or illustration.  Students can add more information to clarify the term as you move through the unit.</w:t>
            </w:r>
          </w:p>
          <w:p w:rsidR="00A6192F" w:rsidRDefault="00A6192F" w:rsidP="003F7D73">
            <w:pPr>
              <w:spacing w:after="0" w:line="240" w:lineRule="auto"/>
            </w:pPr>
          </w:p>
          <w:p w:rsidR="00A6192F" w:rsidRDefault="00A6192F" w:rsidP="003F7D73">
            <w:pPr>
              <w:spacing w:after="0" w:line="240" w:lineRule="auto"/>
            </w:pPr>
            <w:r>
              <w:rPr>
                <w:b/>
              </w:rPr>
              <w:t>Word Walls</w:t>
            </w:r>
            <w:r>
              <w:t xml:space="preserve"> – Terms with student-friendly definition and illustration can be placed on the wall for student reference.  If you are short on space, put up terms just for the current unit. Students can refer to their dictionaries for past terms.</w:t>
            </w:r>
          </w:p>
          <w:p w:rsidR="00A6192F" w:rsidRDefault="00A6192F" w:rsidP="003F7D73">
            <w:pPr>
              <w:spacing w:after="0" w:line="240" w:lineRule="auto"/>
            </w:pPr>
          </w:p>
          <w:p w:rsidR="00A6192F" w:rsidRDefault="00A6192F" w:rsidP="003F7D73">
            <w:pPr>
              <w:spacing w:after="0" w:line="240" w:lineRule="auto"/>
            </w:pPr>
            <w:r>
              <w:rPr>
                <w:b/>
              </w:rPr>
              <w:t>Word Sorts</w:t>
            </w:r>
            <w:r>
              <w:t xml:space="preserve"> – Words or phrases are written on strips of paper.  The students organize strips according to meaning, similarities, sounds, or relation to a concept.  In a closed sort, the teacher gives the category headings.  In an open sort, students are given the words / phrases and determine grouping criteria.</w:t>
            </w:r>
          </w:p>
          <w:p w:rsidR="00A6192F" w:rsidRDefault="00A6192F" w:rsidP="003F7D73">
            <w:pPr>
              <w:spacing w:after="0" w:line="240" w:lineRule="auto"/>
            </w:pPr>
          </w:p>
          <w:p w:rsidR="00A6192F" w:rsidRDefault="00A6192F" w:rsidP="003F7D73">
            <w:pPr>
              <w:spacing w:after="0" w:line="240" w:lineRule="auto"/>
            </w:pPr>
            <w:r>
              <w:rPr>
                <w:b/>
              </w:rPr>
              <w:t>Flip books</w:t>
            </w:r>
            <w:r>
              <w:t xml:space="preserve"> – These “</w:t>
            </w:r>
            <w:proofErr w:type="spellStart"/>
            <w:r>
              <w:t>foldables</w:t>
            </w:r>
            <w:proofErr w:type="spellEnd"/>
            <w:r>
              <w:t>” come in a variety of forms.  They help organize terms and can reflect vocabulary, processes, definitions, and algorithms.</w:t>
            </w:r>
          </w:p>
          <w:p w:rsidR="00A6192F" w:rsidRDefault="00A6192F" w:rsidP="003F7D73">
            <w:pPr>
              <w:spacing w:after="0" w:line="240" w:lineRule="auto"/>
            </w:pPr>
          </w:p>
          <w:p w:rsidR="00A6192F" w:rsidRDefault="00A6192F" w:rsidP="003F7D73">
            <w:pPr>
              <w:spacing w:after="0" w:line="240" w:lineRule="auto"/>
            </w:pPr>
            <w:r>
              <w:rPr>
                <w:b/>
              </w:rPr>
              <w:t>Wallpapering</w:t>
            </w:r>
            <w:r>
              <w:t xml:space="preserve"> – The teacher writes a key concept on a poster or on the board.  The teacher asks students to think about what they already know about the concept.  Students write their ideas on a post-it note and place the note on the board.  The “wallpaper” that results can be sorted / classified, and/or turned in to a word wall.</w:t>
            </w:r>
          </w:p>
          <w:p w:rsidR="00A6192F" w:rsidRDefault="00A6192F" w:rsidP="003F7D73">
            <w:pPr>
              <w:spacing w:after="0" w:line="240" w:lineRule="auto"/>
            </w:pPr>
          </w:p>
          <w:p w:rsidR="00A6192F" w:rsidRPr="00D17DA0" w:rsidRDefault="00A6192F" w:rsidP="003F7D73">
            <w:pPr>
              <w:spacing w:after="0" w:line="240" w:lineRule="auto"/>
            </w:pPr>
            <w:r>
              <w:rPr>
                <w:b/>
              </w:rPr>
              <w:t xml:space="preserve">4 Corners </w:t>
            </w:r>
            <w:proofErr w:type="gramStart"/>
            <w:r>
              <w:rPr>
                <w:b/>
              </w:rPr>
              <w:t xml:space="preserve">- </w:t>
            </w:r>
            <w:r>
              <w:t xml:space="preserve"> In</w:t>
            </w:r>
            <w:proofErr w:type="gramEnd"/>
            <w:r>
              <w:t xml:space="preserve"> groups, students select a word to focus on and create a poster with 4 sections: word, picture/illustration, definition, word used in context.  Groups present their poster showing only one section at a time, starting with the picture, then the definition, then the word in context.  Classmates try to guess the word as each quadrant is revealed.</w:t>
            </w:r>
          </w:p>
        </w:tc>
      </w:tr>
    </w:tbl>
    <w:p w:rsidR="00A6192F" w:rsidRDefault="00A6192F"/>
    <w:p w:rsidR="00A6192F" w:rsidRDefault="00A6192F">
      <w:r>
        <w:br w:type="page"/>
      </w:r>
    </w:p>
    <w:p w:rsidR="00A6192F" w:rsidRPr="00571410" w:rsidRDefault="00A6192F" w:rsidP="00A6192F">
      <w:pPr>
        <w:spacing w:after="0" w:line="240" w:lineRule="auto"/>
        <w:rPr>
          <w:rFonts w:ascii="KG Somebody That I Used to Know" w:hAnsi="KG Somebody That I Used to Know"/>
          <w:b/>
          <w:sz w:val="24"/>
          <w:szCs w:val="24"/>
        </w:rPr>
      </w:pPr>
      <w:r w:rsidRPr="00571410">
        <w:rPr>
          <w:rFonts w:ascii="KG Somebody That I Used to Know" w:hAnsi="KG Somebody That I Used to Know"/>
          <w:b/>
          <w:sz w:val="24"/>
          <w:szCs w:val="24"/>
        </w:rPr>
        <w:lastRenderedPageBreak/>
        <w:t xml:space="preserve">Planning form adapted from: </w:t>
      </w:r>
    </w:p>
    <w:p w:rsidR="00A6192F" w:rsidRPr="00506595" w:rsidRDefault="00A6192F" w:rsidP="00A6192F">
      <w:pPr>
        <w:spacing w:after="0" w:line="240" w:lineRule="auto"/>
        <w:rPr>
          <w:rFonts w:ascii="KG Somebody That I Used to Know" w:hAnsi="KG Somebody That I Used to Know"/>
          <w:sz w:val="24"/>
          <w:szCs w:val="24"/>
        </w:rPr>
      </w:pPr>
      <w:proofErr w:type="spellStart"/>
      <w:proofErr w:type="gramStart"/>
      <w:r w:rsidRPr="00506595">
        <w:rPr>
          <w:rFonts w:ascii="KG Somebody That I Used to Know" w:hAnsi="KG Somebody That I Used to Know"/>
          <w:sz w:val="24"/>
          <w:szCs w:val="24"/>
        </w:rPr>
        <w:t>Echevarria</w:t>
      </w:r>
      <w:proofErr w:type="spellEnd"/>
      <w:r w:rsidRPr="00506595">
        <w:rPr>
          <w:rFonts w:ascii="KG Somebody That I Used to Know" w:hAnsi="KG Somebody That I Used to Know"/>
          <w:sz w:val="24"/>
          <w:szCs w:val="24"/>
        </w:rPr>
        <w:t>, Vogt &amp; Short.</w:t>
      </w:r>
      <w:proofErr w:type="gramEnd"/>
      <w:r w:rsidRPr="00506595">
        <w:rPr>
          <w:rFonts w:ascii="KG Somebody That I Used to Know" w:hAnsi="KG Somebody That I Used to Know"/>
          <w:sz w:val="24"/>
          <w:szCs w:val="24"/>
        </w:rPr>
        <w:t xml:space="preserve">  </w:t>
      </w:r>
      <w:proofErr w:type="gramStart"/>
      <w:r w:rsidRPr="00506595">
        <w:rPr>
          <w:rFonts w:ascii="KG Somebody That I Used to Know" w:hAnsi="KG Somebody That I Used to Know"/>
          <w:sz w:val="24"/>
          <w:szCs w:val="24"/>
          <w:u w:val="single"/>
        </w:rPr>
        <w:t>Making Content Comprehensible for English Language Learners: The SIOP Model</w:t>
      </w:r>
      <w:r w:rsidRPr="00506595">
        <w:rPr>
          <w:rFonts w:ascii="KG Somebody That I Used to Know" w:hAnsi="KG Somebody That I Used to Know"/>
          <w:sz w:val="24"/>
          <w:szCs w:val="24"/>
        </w:rPr>
        <w:t>.</w:t>
      </w:r>
      <w:proofErr w:type="gramEnd"/>
      <w:r w:rsidRPr="00506595">
        <w:rPr>
          <w:rFonts w:ascii="KG Somebody That I Used to Know" w:hAnsi="KG Somebody That I Used to Know"/>
          <w:sz w:val="24"/>
          <w:szCs w:val="24"/>
        </w:rPr>
        <w:t xml:space="preserve">  2010.  Pg. 240</w:t>
      </w:r>
    </w:p>
    <w:p w:rsidR="00A6192F" w:rsidRDefault="00A6192F" w:rsidP="00A6192F">
      <w:pPr>
        <w:spacing w:after="0" w:line="240" w:lineRule="auto"/>
        <w:rPr>
          <w:rFonts w:ascii="KG Somebody That I Used to Know" w:hAnsi="KG Somebody That I Used to Know"/>
          <w:sz w:val="24"/>
          <w:szCs w:val="24"/>
        </w:rPr>
      </w:pPr>
      <w:proofErr w:type="gramStart"/>
      <w:r w:rsidRPr="00506595">
        <w:rPr>
          <w:rFonts w:ascii="KG Somebody That I Used to Know" w:hAnsi="KG Somebody That I Used to Know"/>
          <w:sz w:val="24"/>
          <w:szCs w:val="24"/>
        </w:rPr>
        <w:t>WIDA.</w:t>
      </w:r>
      <w:proofErr w:type="gramEnd"/>
      <w:r w:rsidRPr="00506595">
        <w:rPr>
          <w:rFonts w:ascii="KG Somebody That I Used to Know" w:hAnsi="KG Somebody That I Used to Know"/>
          <w:sz w:val="24"/>
          <w:szCs w:val="24"/>
        </w:rPr>
        <w:t xml:space="preserve">  </w:t>
      </w:r>
      <w:proofErr w:type="gramStart"/>
      <w:r w:rsidRPr="00506595">
        <w:rPr>
          <w:rFonts w:ascii="KG Somebody That I Used to Know" w:hAnsi="KG Somebody That I Used to Know"/>
          <w:sz w:val="24"/>
          <w:szCs w:val="24"/>
          <w:u w:val="single"/>
        </w:rPr>
        <w:t>The English Language Development Standards</w:t>
      </w:r>
      <w:r w:rsidRPr="00506595">
        <w:rPr>
          <w:rFonts w:ascii="KG Somebody That I Used to Know" w:hAnsi="KG Somebody That I Used to Know"/>
          <w:sz w:val="24"/>
          <w:szCs w:val="24"/>
        </w:rPr>
        <w:t>.</w:t>
      </w:r>
      <w:proofErr w:type="gramEnd"/>
      <w:r w:rsidRPr="00506595">
        <w:rPr>
          <w:rFonts w:ascii="KG Somebody That I Used to Know" w:hAnsi="KG Somebody That I Used to Know"/>
          <w:sz w:val="24"/>
          <w:szCs w:val="24"/>
        </w:rPr>
        <w:t xml:space="preserve">  </w:t>
      </w:r>
      <w:proofErr w:type="gramStart"/>
      <w:r w:rsidRPr="00506595">
        <w:rPr>
          <w:rFonts w:ascii="KG Somebody That I Used to Know" w:hAnsi="KG Somebody That I Used to Know"/>
          <w:sz w:val="24"/>
          <w:szCs w:val="24"/>
        </w:rPr>
        <w:t>2</w:t>
      </w:r>
      <w:r>
        <w:rPr>
          <w:rFonts w:ascii="KG Somebody That I Used to Know" w:hAnsi="KG Somebody That I Used to Know"/>
          <w:sz w:val="24"/>
          <w:szCs w:val="24"/>
        </w:rPr>
        <w:t>012 Amplification.</w:t>
      </w:r>
      <w:proofErr w:type="gramEnd"/>
      <w:r>
        <w:rPr>
          <w:rFonts w:ascii="KG Somebody That I Used to Know" w:hAnsi="KG Somebody That I Used to Know"/>
          <w:sz w:val="24"/>
          <w:szCs w:val="24"/>
        </w:rPr>
        <w:t xml:space="preserve">  Pgs. 11, 66</w:t>
      </w:r>
    </w:p>
    <w:p w:rsidR="00A6192F" w:rsidRDefault="00A6192F" w:rsidP="00A6192F">
      <w:pPr>
        <w:spacing w:after="0" w:line="240" w:lineRule="auto"/>
        <w:rPr>
          <w:rFonts w:ascii="KG Somebody That I Used to Know" w:hAnsi="KG Somebody That I Used to Know"/>
          <w:sz w:val="24"/>
          <w:szCs w:val="24"/>
        </w:rPr>
      </w:pPr>
    </w:p>
    <w:p w:rsidR="00A6192F" w:rsidRDefault="00A6192F" w:rsidP="00A6192F">
      <w:pPr>
        <w:spacing w:after="0" w:line="240" w:lineRule="auto"/>
        <w:rPr>
          <w:rFonts w:ascii="KG Somebody That I Used to Know" w:hAnsi="KG Somebody That I Used to Know"/>
          <w:sz w:val="24"/>
          <w:szCs w:val="24"/>
        </w:rPr>
      </w:pPr>
      <w:r>
        <w:rPr>
          <w:rFonts w:ascii="KG Somebody That I Used to Know" w:hAnsi="KG Somebody That I Used to Know"/>
          <w:sz w:val="24"/>
          <w:szCs w:val="24"/>
        </w:rPr>
        <w:t xml:space="preserve">Kindergarten Works: </w:t>
      </w:r>
      <w:r w:rsidRPr="00DE2A57">
        <w:rPr>
          <w:rFonts w:ascii="KG Somebody That I Used to Know" w:hAnsi="KG Somebody That I Used to Know"/>
          <w:sz w:val="24"/>
          <w:szCs w:val="24"/>
        </w:rPr>
        <w:t>http://www.kindergartenworks.com/teacher-organization/teacher-planning-organization/</w:t>
      </w:r>
    </w:p>
    <w:p w:rsidR="00A6192F" w:rsidRDefault="00A6192F" w:rsidP="00A6192F">
      <w:pPr>
        <w:spacing w:after="0" w:line="240" w:lineRule="auto"/>
        <w:rPr>
          <w:rFonts w:ascii="KG Somebody That I Used to Know" w:hAnsi="KG Somebody That I Used to Know"/>
          <w:sz w:val="24"/>
          <w:szCs w:val="24"/>
        </w:rPr>
      </w:pPr>
    </w:p>
    <w:p w:rsidR="00A6192F" w:rsidRDefault="00A6192F" w:rsidP="00A6192F">
      <w:pPr>
        <w:spacing w:after="0" w:line="240" w:lineRule="auto"/>
        <w:rPr>
          <w:rFonts w:ascii="KG Somebody That I Used to Know" w:hAnsi="KG Somebody That I Used to Know"/>
          <w:sz w:val="24"/>
          <w:szCs w:val="24"/>
        </w:rPr>
      </w:pPr>
    </w:p>
    <w:p w:rsidR="00A6192F" w:rsidRPr="00571410" w:rsidRDefault="00A6192F" w:rsidP="00A6192F">
      <w:pPr>
        <w:spacing w:after="0" w:line="240" w:lineRule="auto"/>
        <w:rPr>
          <w:rFonts w:ascii="KG Somebody That I Used to Know" w:hAnsi="KG Somebody That I Used to Know"/>
          <w:b/>
          <w:sz w:val="24"/>
          <w:szCs w:val="24"/>
        </w:rPr>
      </w:pPr>
      <w:r w:rsidRPr="00571410">
        <w:rPr>
          <w:rFonts w:ascii="KG Somebody That I Used to Know" w:hAnsi="KG Somebody That I Used to Know"/>
          <w:b/>
          <w:sz w:val="24"/>
          <w:szCs w:val="24"/>
        </w:rPr>
        <w:t>Helpful Hints adapted from:</w:t>
      </w:r>
    </w:p>
    <w:p w:rsidR="00A6192F" w:rsidRDefault="00A6192F" w:rsidP="00A6192F">
      <w:pPr>
        <w:spacing w:after="0" w:line="240" w:lineRule="auto"/>
        <w:rPr>
          <w:rFonts w:ascii="KG Somebody That I Used to Know" w:hAnsi="KG Somebody That I Used to Know"/>
          <w:sz w:val="24"/>
          <w:szCs w:val="24"/>
        </w:rPr>
      </w:pPr>
      <w:proofErr w:type="gramStart"/>
      <w:r>
        <w:rPr>
          <w:rFonts w:ascii="KG Somebody That I Used to Know" w:hAnsi="KG Somebody That I Used to Know"/>
          <w:sz w:val="24"/>
          <w:szCs w:val="24"/>
        </w:rPr>
        <w:t>Michigan Department of Education and Center for Applied Linguistics.</w:t>
      </w:r>
      <w:proofErr w:type="gramEnd"/>
      <w:r>
        <w:rPr>
          <w:rFonts w:ascii="KG Somebody That I Used to Know" w:hAnsi="KG Somebody That I Used to Know"/>
          <w:sz w:val="24"/>
          <w:szCs w:val="24"/>
        </w:rPr>
        <w:t xml:space="preserve">  SIOP Model Workshops (booklet given at workshop).  Pgs. 27-29, 92,</w:t>
      </w:r>
    </w:p>
    <w:p w:rsidR="00A6192F" w:rsidRDefault="00A6192F" w:rsidP="00A6192F">
      <w:pPr>
        <w:spacing w:after="0" w:line="240" w:lineRule="auto"/>
        <w:rPr>
          <w:rFonts w:ascii="KG Somebody That I Used to Know" w:hAnsi="KG Somebody That I Used to Know"/>
          <w:sz w:val="24"/>
          <w:szCs w:val="24"/>
        </w:rPr>
      </w:pPr>
      <w:r>
        <w:rPr>
          <w:rFonts w:ascii="KG Somebody That I Used to Know" w:hAnsi="KG Somebody That I Used to Know"/>
          <w:sz w:val="24"/>
          <w:szCs w:val="24"/>
        </w:rPr>
        <w:t>Office of English Language Learners, Detroit Public Schools (April 19, 2013).</w:t>
      </w:r>
    </w:p>
    <w:p w:rsidR="00A6192F" w:rsidRPr="00DA0C4B" w:rsidRDefault="00A6192F" w:rsidP="00A6192F">
      <w:pPr>
        <w:rPr>
          <w:rFonts w:ascii="Arial" w:hAnsi="Arial" w:cs="Arial"/>
        </w:rPr>
      </w:pPr>
    </w:p>
    <w:p w:rsidR="00A6192F" w:rsidRPr="006066C8" w:rsidRDefault="00A6192F" w:rsidP="00A6192F"/>
    <w:p w:rsidR="00A5776B" w:rsidRDefault="00A5776B"/>
    <w:sectPr w:rsidR="00A5776B" w:rsidSect="00A57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Somebody That I Used to Know">
    <w:panose1 w:val="02000000000000000000"/>
    <w:charset w:val="00"/>
    <w:family w:val="auto"/>
    <w:pitch w:val="variable"/>
    <w:sig w:usb0="A000002F" w:usb1="00000042" w:usb2="00000000" w:usb3="00000000" w:csb0="00000003"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47A0"/>
    <w:multiLevelType w:val="hybridMultilevel"/>
    <w:tmpl w:val="0BD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64DF4"/>
    <w:multiLevelType w:val="hybridMultilevel"/>
    <w:tmpl w:val="233A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192F"/>
    <w:rsid w:val="00A5776B"/>
    <w:rsid w:val="00A61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3657</Characters>
  <Application>Microsoft Office Word</Application>
  <DocSecurity>0</DocSecurity>
  <Lines>30</Lines>
  <Paragraphs>8</Paragraphs>
  <ScaleCrop>false</ScaleCrop>
  <Company>Godfrey-Lee Public Schools</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2014-03-06T15:28:00Z</dcterms:created>
  <dcterms:modified xsi:type="dcterms:W3CDTF">2014-03-06T15:29:00Z</dcterms:modified>
</cp:coreProperties>
</file>